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976269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09320C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09320C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320C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 w:rsidRPr="0009320C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320C">
        <w:rPr>
          <w:rFonts w:ascii="Times New Roman" w:hAnsi="Times New Roman"/>
          <w:b w:val="0"/>
          <w:bCs w:val="0"/>
          <w:color w:val="auto"/>
        </w:rPr>
        <w:t>Российской Федерации</w:t>
      </w:r>
      <w:r w:rsidRPr="0009320C">
        <w:rPr>
          <w:rFonts w:ascii="Times New Roman" w:hAnsi="Times New Roman"/>
          <w:b w:val="0"/>
          <w:bCs w:val="0"/>
          <w:color w:val="auto"/>
        </w:rPr>
        <w:br/>
        <w:t xml:space="preserve">от </w:t>
      </w:r>
      <w:r w:rsidR="0009320C" w:rsidRPr="0009320C">
        <w:rPr>
          <w:color w:val="auto"/>
          <w:sz w:val="24"/>
          <w:szCs w:val="24"/>
        </w:rPr>
        <w:t>24 декабря 2012 г. № 1482н</w:t>
      </w:r>
      <w:r w:rsidRPr="0009320C">
        <w:rPr>
          <w:rFonts w:ascii="Times New Roman" w:hAnsi="Times New Roman"/>
          <w:b w:val="0"/>
          <w:bCs w:val="0"/>
          <w:color w:val="auto"/>
        </w:rPr>
        <w:t>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09320C">
        <w:rPr>
          <w:b/>
          <w:szCs w:val="28"/>
        </w:rPr>
        <w:t xml:space="preserve">Стандарт первичной медико-санитарной помощи при </w:t>
      </w:r>
      <w:proofErr w:type="spellStart"/>
      <w:r w:rsidRPr="0009320C">
        <w:rPr>
          <w:b/>
          <w:szCs w:val="28"/>
        </w:rPr>
        <w:t>герпетиформном</w:t>
      </w:r>
      <w:proofErr w:type="spellEnd"/>
      <w:r w:rsidRPr="0009320C">
        <w:rPr>
          <w:b/>
          <w:szCs w:val="28"/>
        </w:rPr>
        <w:t xml:space="preserve"> дерматите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320C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320C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320C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320C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320C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09320C">
        <w:rPr>
          <w:szCs w:val="28"/>
        </w:rPr>
        <w:t>первичная специализированная медико-санитарная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proofErr w:type="spellStart"/>
      <w:r w:rsidRPr="0009320C">
        <w:rPr>
          <w:szCs w:val="28"/>
        </w:rPr>
        <w:t>амбулаторно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09320C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320C">
        <w:rPr>
          <w:szCs w:val="28"/>
        </w:rPr>
        <w:t>365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L13.0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Дерматит герпетиформный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09320C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</w:p>
        </w:tc>
        <w:tc>
          <w:tcPr>
            <w:tcW w:w="2977" w:type="pct"/>
          </w:tcPr>
          <w:p w:rsidR="00542E93" w:rsidRPr="0009320C" w:rsidRDefault="00542E93" w:rsidP="00542E93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>Прием (осмотр, консультация) врача-гастроэнтеролога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09320C" w:rsidRDefault="00542E93" w:rsidP="00542E93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 xml:space="preserve">Прием (осмотр, консультация) </w:t>
            </w:r>
            <w:proofErr w:type="spellStart"/>
            <w:r w:rsidRPr="0009320C">
              <w:rPr>
                <w:szCs w:val="28"/>
              </w:rPr>
              <w:t>врача-дерматовенеролога</w:t>
            </w:r>
            <w:proofErr w:type="spellEnd"/>
            <w:r w:rsidRPr="0009320C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09320C" w:rsidRDefault="00542E93" w:rsidP="00542E93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09320C" w:rsidRDefault="00BF6098" w:rsidP="00A4699D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09320C" w:rsidRDefault="00BF6098" w:rsidP="00A4699D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09320C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HbsAg</w:t>
            </w:r>
            <w:proofErr w:type="spellEnd"/>
            <w:r w:rsidRPr="0009320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09320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09320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09320C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09320C" w:rsidRDefault="00BF6098" w:rsidP="00A4699D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09320C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09320C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09320C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09320C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09320C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09320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09320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09320C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09320C" w:rsidRDefault="00BF6098" w:rsidP="00A4699D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09320C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09320C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09320C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09320C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09320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09320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09320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09320C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A26.06.049</w:t>
            </w:r>
          </w:p>
        </w:tc>
        <w:tc>
          <w:tcPr>
            <w:tcW w:w="2977" w:type="pct"/>
          </w:tcPr>
          <w:p w:rsidR="00BF6098" w:rsidRPr="0009320C" w:rsidRDefault="00BF6098" w:rsidP="00A4699D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09320C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09320C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09320C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09320C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09320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09320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09320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09320C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09320C" w:rsidRDefault="00BF6098" w:rsidP="00A4699D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542E93" w:rsidRPr="0009320C" w:rsidRDefault="00542E93" w:rsidP="00542E93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542E93" w:rsidRPr="0009320C" w:rsidRDefault="00542E93" w:rsidP="00542E93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 xml:space="preserve">Ультразвуковое исследование матки и придатков </w:t>
            </w:r>
            <w:proofErr w:type="spellStart"/>
            <w:r w:rsidRPr="0009320C">
              <w:rPr>
                <w:szCs w:val="28"/>
              </w:rPr>
              <w:t>трансабдоминальное</w:t>
            </w:r>
            <w:proofErr w:type="spellEnd"/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молочных желез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</w:p>
        </w:tc>
        <w:tc>
          <w:tcPr>
            <w:tcW w:w="2977" w:type="pct"/>
          </w:tcPr>
          <w:p w:rsidR="00542E93" w:rsidRPr="0009320C" w:rsidRDefault="00542E93" w:rsidP="00542E93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</w:p>
        </w:tc>
        <w:tc>
          <w:tcPr>
            <w:tcW w:w="2977" w:type="pct"/>
          </w:tcPr>
          <w:p w:rsidR="00542E93" w:rsidRPr="0009320C" w:rsidRDefault="00542E93" w:rsidP="00542E93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09320C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</w:p>
        </w:tc>
        <w:tc>
          <w:tcPr>
            <w:tcW w:w="2977" w:type="pct"/>
          </w:tcPr>
          <w:p w:rsidR="00BF6098" w:rsidRPr="0009320C" w:rsidRDefault="00BF6098" w:rsidP="00A4699D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 xml:space="preserve">Прием (осмотр, консультация) </w:t>
            </w:r>
            <w:proofErr w:type="spellStart"/>
            <w:r w:rsidRPr="0009320C">
              <w:rPr>
                <w:szCs w:val="28"/>
              </w:rPr>
              <w:t>врача-дерматовенеролога</w:t>
            </w:r>
            <w:proofErr w:type="spellEnd"/>
            <w:r w:rsidRPr="0009320C">
              <w:rPr>
                <w:szCs w:val="28"/>
              </w:rPr>
              <w:t xml:space="preserve">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</w:p>
        </w:tc>
        <w:tc>
          <w:tcPr>
            <w:tcW w:w="2977" w:type="pct"/>
          </w:tcPr>
          <w:p w:rsidR="00BF6098" w:rsidRPr="0009320C" w:rsidRDefault="00BF6098" w:rsidP="00A4699D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4C606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A11.01.016</w:t>
            </w:r>
          </w:p>
        </w:tc>
        <w:tc>
          <w:tcPr>
            <w:tcW w:w="2977" w:type="pct"/>
          </w:tcPr>
          <w:p w:rsidR="00AF3525" w:rsidRPr="0009320C" w:rsidRDefault="00AF3525" w:rsidP="005851B5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>Получение мазка-отпечатка с поверхности кожи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A11.30.018</w:t>
            </w:r>
          </w:p>
        </w:tc>
        <w:tc>
          <w:tcPr>
            <w:tcW w:w="2977" w:type="pct"/>
          </w:tcPr>
          <w:p w:rsidR="00AF3525" w:rsidRPr="0009320C" w:rsidRDefault="00AF3525" w:rsidP="005851B5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>Забор материала для исследования пузырной жидкости на эозинофилы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A09.01.002</w:t>
            </w:r>
          </w:p>
        </w:tc>
        <w:tc>
          <w:tcPr>
            <w:tcW w:w="2977" w:type="pct"/>
          </w:tcPr>
          <w:p w:rsidR="00AF3525" w:rsidRPr="0009320C" w:rsidRDefault="00AF3525" w:rsidP="005851B5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 xml:space="preserve">Исследование </w:t>
            </w:r>
            <w:proofErr w:type="gramStart"/>
            <w:r w:rsidRPr="0009320C">
              <w:rPr>
                <w:szCs w:val="28"/>
              </w:rPr>
              <w:t>отделяемого</w:t>
            </w:r>
            <w:proofErr w:type="gramEnd"/>
            <w:r w:rsidRPr="0009320C">
              <w:rPr>
                <w:szCs w:val="28"/>
              </w:rPr>
              <w:t xml:space="preserve"> высыпных элементов кожи на чувствительность к антибактериальным и противогрибковым препаратам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</w:p>
        </w:tc>
        <w:tc>
          <w:tcPr>
            <w:tcW w:w="2977" w:type="pct"/>
          </w:tcPr>
          <w:p w:rsidR="00AF3525" w:rsidRPr="0009320C" w:rsidRDefault="00AF3525" w:rsidP="005851B5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 xml:space="preserve">Бактериологическое исследование </w:t>
            </w:r>
            <w:proofErr w:type="gramStart"/>
            <w:r w:rsidRPr="0009320C">
              <w:rPr>
                <w:szCs w:val="28"/>
              </w:rPr>
              <w:t>гнойного</w:t>
            </w:r>
            <w:proofErr w:type="gramEnd"/>
            <w:r w:rsidRPr="0009320C">
              <w:rPr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</w:p>
        </w:tc>
        <w:tc>
          <w:tcPr>
            <w:tcW w:w="2977" w:type="pct"/>
          </w:tcPr>
          <w:p w:rsidR="00AF3525" w:rsidRPr="0009320C" w:rsidRDefault="00AF3525" w:rsidP="005851B5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 xml:space="preserve">Микологическое исследование соскобов с кожи и ногтевых пластинок на грибы </w:t>
            </w:r>
            <w:proofErr w:type="spellStart"/>
            <w:r w:rsidRPr="0009320C">
              <w:rPr>
                <w:szCs w:val="28"/>
              </w:rPr>
              <w:t>дерматофиты</w:t>
            </w:r>
            <w:proofErr w:type="spellEnd"/>
            <w:r w:rsidRPr="0009320C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Dermatophyton</w:t>
            </w:r>
            <w:proofErr w:type="spellEnd"/>
            <w:r w:rsidRPr="0009320C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09320C" w:rsidRDefault="00AF3525" w:rsidP="005851B5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09320C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A02BC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09320C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09320C">
              <w:rPr>
                <w:szCs w:val="28"/>
              </w:rPr>
              <w:t>Глюкокортикоиды</w:t>
            </w:r>
            <w:proofErr w:type="spellEnd"/>
            <w:r w:rsidRPr="0009320C">
              <w:rPr>
                <w:szCs w:val="28"/>
              </w:rPr>
              <w:t xml:space="preserve">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09320C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09320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="00BF6098" w:rsidRPr="0009320C" w:rsidRDefault="00BF6098" w:rsidP="00A774F9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 xml:space="preserve">Кортикостероиды с очень высокой активностью (группа </w:t>
            </w:r>
            <w:r w:rsidRPr="00A774F9">
              <w:rPr>
                <w:szCs w:val="28"/>
                <w:lang w:val="en-US"/>
              </w:rPr>
              <w:t>IV</w:t>
            </w:r>
            <w:r w:rsidRPr="0009320C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09320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Клобетазол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D07CB</w:t>
            </w:r>
          </w:p>
        </w:tc>
        <w:tc>
          <w:tcPr>
            <w:tcW w:w="1056" w:type="pct"/>
          </w:tcPr>
          <w:p w:rsidR="00BF6098" w:rsidRPr="0009320C" w:rsidRDefault="00BF6098" w:rsidP="00A774F9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>Кортикостероиды с умеренной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09320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Тетрациклин+Триамцинолон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J04BA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Противолепрозные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Дапсон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="00BF6098" w:rsidRPr="0009320C" w:rsidRDefault="00BF6098" w:rsidP="00A774F9">
            <w:pPr>
              <w:spacing w:after="0" w:line="240" w:lineRule="auto"/>
              <w:rPr>
                <w:szCs w:val="28"/>
              </w:rPr>
            </w:pPr>
            <w:r w:rsidRPr="0009320C">
              <w:rPr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="00BF6098" w:rsidRPr="0009320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lastRenderedPageBreak/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09320C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09320C">
        <w:rPr>
          <w:bCs/>
          <w:szCs w:val="28"/>
        </w:rPr>
        <w:t xml:space="preserve"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</w:t>
      </w:r>
      <w:proofErr w:type="gramStart"/>
      <w:r w:rsidRPr="0009320C">
        <w:rPr>
          <w:bCs/>
          <w:szCs w:val="28"/>
        </w:rPr>
        <w:t>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gramEnd"/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32" w:rsidRDefault="00FA3932" w:rsidP="00AC1859">
      <w:pPr>
        <w:spacing w:after="0" w:line="240" w:lineRule="auto"/>
      </w:pPr>
      <w:r>
        <w:separator/>
      </w:r>
    </w:p>
  </w:endnote>
  <w:endnote w:type="continuationSeparator" w:id="0">
    <w:p w:rsidR="00FA3932" w:rsidRDefault="00FA3932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32" w:rsidRDefault="00FA3932" w:rsidP="00AC1859">
      <w:pPr>
        <w:spacing w:after="0" w:line="240" w:lineRule="auto"/>
      </w:pPr>
      <w:r>
        <w:separator/>
      </w:r>
    </w:p>
  </w:footnote>
  <w:footnote w:type="continuationSeparator" w:id="0">
    <w:p w:rsidR="00FA3932" w:rsidRDefault="00FA3932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9320C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269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A3932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4589-D13C-496E-B652-CCDF5621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1171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2015-05-18T14:21:00Z</dcterms:modified>
</cp:coreProperties>
</file>